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BF" w:rsidRPr="00286BBE" w:rsidRDefault="006432BF" w:rsidP="006432BF">
      <w:pPr>
        <w:spacing w:after="100" w:afterAutospacing="1"/>
        <w:jc w:val="center"/>
        <w:rPr>
          <w:rFonts w:ascii="Arial" w:hAnsi="Arial" w:cs="Arial"/>
          <w:b/>
        </w:rPr>
      </w:pPr>
      <w:r w:rsidRPr="00286BBE">
        <w:rPr>
          <w:rFonts w:ascii="Arial" w:hAnsi="Arial" w:cs="Arial"/>
          <w:b/>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6432BF" w:rsidRPr="00286BBE" w:rsidRDefault="006432BF" w:rsidP="006432BF">
      <w:pPr>
        <w:spacing w:after="100" w:afterAutospacing="1"/>
        <w:ind w:firstLine="250"/>
        <w:jc w:val="both"/>
        <w:rPr>
          <w:rFonts w:ascii="Arial" w:hAnsi="Arial" w:cs="Arial"/>
        </w:rPr>
      </w:pPr>
      <w:r w:rsidRPr="00286BBE">
        <w:rPr>
          <w:rFonts w:ascii="Arial" w:hAnsi="Arial" w:cs="Arial"/>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rsidR="006432BF" w:rsidRPr="00286BBE" w:rsidRDefault="006432BF" w:rsidP="006432BF">
      <w:pPr>
        <w:spacing w:after="100" w:afterAutospacing="1"/>
        <w:jc w:val="center"/>
        <w:rPr>
          <w:rFonts w:ascii="Arial" w:hAnsi="Arial" w:cs="Arial"/>
          <w:b/>
        </w:rPr>
      </w:pPr>
      <w:r w:rsidRPr="00286BBE">
        <w:rPr>
          <w:rFonts w:ascii="Arial" w:hAnsi="Arial" w:cs="Arial"/>
          <w:b/>
        </w:rPr>
        <w:t>Риски, связанные производными финансовыми инструментами</w:t>
      </w:r>
    </w:p>
    <w:p w:rsidR="006432BF" w:rsidRPr="00286BBE" w:rsidRDefault="006432BF" w:rsidP="00286BBE">
      <w:pPr>
        <w:ind w:firstLine="250"/>
        <w:jc w:val="both"/>
        <w:rPr>
          <w:rFonts w:ascii="Arial" w:hAnsi="Arial" w:cs="Arial"/>
        </w:rPr>
      </w:pPr>
      <w:r w:rsidRPr="00286BBE">
        <w:rPr>
          <w:rFonts w:ascii="Arial" w:hAnsi="Arial" w:cs="Arial"/>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w:t>
      </w:r>
      <w:proofErr w:type="spellStart"/>
      <w:r w:rsidRPr="00286BBE">
        <w:rPr>
          <w:rFonts w:ascii="Arial" w:hAnsi="Arial" w:cs="Arial"/>
        </w:rPr>
        <w:t>колл</w:t>
      </w:r>
      <w:proofErr w:type="spellEnd"/>
      <w:r w:rsidRPr="00286BBE">
        <w:rPr>
          <w:rFonts w:ascii="Arial" w:hAnsi="Arial" w:cs="Arial"/>
        </w:rPr>
        <w:t>»)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rsidR="006432BF" w:rsidRPr="00286BBE" w:rsidRDefault="006432BF" w:rsidP="00286BBE">
      <w:pPr>
        <w:ind w:firstLine="250"/>
        <w:jc w:val="both"/>
        <w:rPr>
          <w:rFonts w:ascii="Arial" w:hAnsi="Arial" w:cs="Arial"/>
        </w:rPr>
      </w:pPr>
      <w:r w:rsidRPr="00286BBE">
        <w:rPr>
          <w:rFonts w:ascii="Arial" w:hAnsi="Arial" w:cs="Arial"/>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rsidR="006432BF" w:rsidRPr="00286BBE" w:rsidRDefault="006432BF" w:rsidP="006432BF">
      <w:pPr>
        <w:ind w:firstLine="250"/>
        <w:rPr>
          <w:rFonts w:ascii="Arial" w:hAnsi="Arial" w:cs="Arial"/>
        </w:rPr>
      </w:pPr>
    </w:p>
    <w:p w:rsidR="006432BF" w:rsidRPr="00286BBE" w:rsidRDefault="006432BF" w:rsidP="00286BBE">
      <w:pPr>
        <w:ind w:firstLine="250"/>
        <w:jc w:val="center"/>
        <w:rPr>
          <w:rFonts w:ascii="Arial" w:hAnsi="Arial" w:cs="Arial"/>
        </w:rPr>
      </w:pPr>
      <w:r w:rsidRPr="00286BBE">
        <w:rPr>
          <w:rFonts w:ascii="Arial" w:hAnsi="Arial" w:cs="Arial"/>
        </w:rPr>
        <w:t>Рыночный (ценовой) риск</w:t>
      </w:r>
    </w:p>
    <w:p w:rsidR="006432BF" w:rsidRPr="00286BBE" w:rsidRDefault="006432BF" w:rsidP="00286BBE">
      <w:pPr>
        <w:ind w:firstLine="250"/>
        <w:jc w:val="both"/>
        <w:rPr>
          <w:rFonts w:ascii="Arial" w:hAnsi="Arial" w:cs="Arial"/>
        </w:rPr>
      </w:pPr>
      <w:proofErr w:type="gramStart"/>
      <w:r w:rsidRPr="00286BBE">
        <w:rPr>
          <w:rFonts w:ascii="Arial" w:hAnsi="Arial" w:cs="Arial"/>
        </w:rPr>
        <w:t>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roofErr w:type="gramEnd"/>
    </w:p>
    <w:p w:rsidR="006432BF" w:rsidRPr="00286BBE" w:rsidRDefault="006432BF" w:rsidP="00286BBE">
      <w:pPr>
        <w:ind w:firstLine="250"/>
        <w:jc w:val="both"/>
        <w:rPr>
          <w:rFonts w:ascii="Arial" w:hAnsi="Arial" w:cs="Arial"/>
        </w:rPr>
      </w:pPr>
      <w:r w:rsidRPr="00286BBE">
        <w:rPr>
          <w:rFonts w:ascii="Arial" w:hAnsi="Arial" w:cs="Arial"/>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rsidR="006432BF" w:rsidRPr="00286BBE" w:rsidRDefault="006432BF" w:rsidP="006432BF">
      <w:pPr>
        <w:ind w:firstLine="250"/>
        <w:rPr>
          <w:rFonts w:ascii="Arial" w:hAnsi="Arial" w:cs="Arial"/>
        </w:rPr>
      </w:pPr>
    </w:p>
    <w:p w:rsidR="006432BF" w:rsidRPr="00286BBE" w:rsidRDefault="006432BF" w:rsidP="00286BBE">
      <w:pPr>
        <w:ind w:firstLine="250"/>
        <w:jc w:val="center"/>
        <w:rPr>
          <w:rFonts w:ascii="Arial" w:hAnsi="Arial" w:cs="Arial"/>
        </w:rPr>
      </w:pPr>
      <w:r w:rsidRPr="00286BBE">
        <w:rPr>
          <w:rFonts w:ascii="Arial" w:hAnsi="Arial" w:cs="Arial"/>
        </w:rPr>
        <w:lastRenderedPageBreak/>
        <w:t>Риск ликвидности</w:t>
      </w:r>
    </w:p>
    <w:p w:rsidR="006432BF" w:rsidRPr="00286BBE" w:rsidRDefault="006432BF" w:rsidP="00286BBE">
      <w:pPr>
        <w:ind w:firstLine="250"/>
        <w:jc w:val="both"/>
        <w:rPr>
          <w:rFonts w:ascii="Arial" w:hAnsi="Arial" w:cs="Arial"/>
        </w:rPr>
      </w:pPr>
      <w:r w:rsidRPr="00286BBE">
        <w:rPr>
          <w:rFonts w:ascii="Arial" w:hAnsi="Arial" w:cs="Arial"/>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rsidR="006432BF" w:rsidRPr="00286BBE" w:rsidRDefault="006432BF" w:rsidP="00286BBE">
      <w:pPr>
        <w:ind w:firstLine="250"/>
        <w:jc w:val="both"/>
        <w:rPr>
          <w:rFonts w:ascii="Arial" w:hAnsi="Arial" w:cs="Arial"/>
        </w:rPr>
      </w:pPr>
      <w:r w:rsidRPr="00286BBE">
        <w:rPr>
          <w:rFonts w:ascii="Arial" w:hAnsi="Arial" w:cs="Arial"/>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rsidR="006432BF" w:rsidRPr="00286BBE" w:rsidRDefault="006432BF" w:rsidP="00286BBE">
      <w:pPr>
        <w:ind w:firstLine="250"/>
        <w:jc w:val="both"/>
        <w:rPr>
          <w:rFonts w:ascii="Arial" w:hAnsi="Arial" w:cs="Arial"/>
        </w:rPr>
      </w:pPr>
      <w:r w:rsidRPr="00286BBE">
        <w:rPr>
          <w:rFonts w:ascii="Arial" w:hAnsi="Arial" w:cs="Arial"/>
        </w:rPr>
        <w:t xml:space="preserve">При этом трудности с закрытием позиций  и потери в цене могут привести к увеличению убытков по сравнению с обычными сделками. </w:t>
      </w:r>
    </w:p>
    <w:p w:rsidR="006432BF" w:rsidRPr="00286BBE" w:rsidRDefault="006432BF" w:rsidP="00286BBE">
      <w:pPr>
        <w:ind w:firstLine="250"/>
        <w:jc w:val="both"/>
        <w:rPr>
          <w:rFonts w:ascii="Arial" w:hAnsi="Arial" w:cs="Arial"/>
        </w:rPr>
      </w:pPr>
      <w:r w:rsidRPr="00286BBE">
        <w:rPr>
          <w:rFonts w:ascii="Arial" w:hAnsi="Arial" w:cs="Arial"/>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rsidR="006432BF" w:rsidRPr="00286BBE" w:rsidRDefault="006432BF" w:rsidP="006432BF">
      <w:pPr>
        <w:ind w:firstLine="250"/>
        <w:rPr>
          <w:rFonts w:ascii="Arial" w:hAnsi="Arial" w:cs="Arial"/>
        </w:rPr>
      </w:pPr>
    </w:p>
    <w:p w:rsidR="006432BF" w:rsidRPr="00286BBE" w:rsidRDefault="006432BF" w:rsidP="00286BBE">
      <w:pPr>
        <w:ind w:firstLine="250"/>
        <w:jc w:val="center"/>
        <w:rPr>
          <w:rFonts w:ascii="Arial" w:hAnsi="Arial" w:cs="Arial"/>
        </w:rPr>
      </w:pPr>
      <w:r w:rsidRPr="00286BBE">
        <w:rPr>
          <w:rFonts w:ascii="Arial" w:hAnsi="Arial" w:cs="Arial"/>
        </w:rPr>
        <w:t>Ограничение распоряжения средствами, являющимися обеспечением</w:t>
      </w:r>
    </w:p>
    <w:p w:rsidR="006432BF" w:rsidRPr="00286BBE" w:rsidRDefault="006432BF" w:rsidP="00286BBE">
      <w:pPr>
        <w:ind w:firstLine="250"/>
        <w:jc w:val="both"/>
        <w:rPr>
          <w:rFonts w:ascii="Arial" w:hAnsi="Arial" w:cs="Arial"/>
        </w:rPr>
      </w:pPr>
      <w:r w:rsidRPr="00286BBE">
        <w:rPr>
          <w:rFonts w:ascii="Arial" w:hAnsi="Arial" w:cs="Arial"/>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rsidR="006432BF" w:rsidRPr="00286BBE" w:rsidRDefault="006432BF" w:rsidP="006432BF">
      <w:pPr>
        <w:ind w:firstLine="250"/>
        <w:rPr>
          <w:rFonts w:ascii="Arial" w:hAnsi="Arial" w:cs="Arial"/>
        </w:rPr>
      </w:pPr>
    </w:p>
    <w:p w:rsidR="006432BF" w:rsidRPr="00286BBE" w:rsidRDefault="006432BF" w:rsidP="00286BBE">
      <w:pPr>
        <w:ind w:firstLine="250"/>
        <w:jc w:val="center"/>
        <w:rPr>
          <w:rFonts w:ascii="Arial" w:hAnsi="Arial" w:cs="Arial"/>
        </w:rPr>
      </w:pPr>
      <w:r w:rsidRPr="00286BBE">
        <w:rPr>
          <w:rFonts w:ascii="Arial" w:hAnsi="Arial" w:cs="Arial"/>
        </w:rPr>
        <w:t>Риск принудительного закрытия позиции</w:t>
      </w:r>
    </w:p>
    <w:p w:rsidR="006432BF" w:rsidRPr="00286BBE" w:rsidRDefault="006432BF" w:rsidP="00286BBE">
      <w:pPr>
        <w:ind w:firstLine="250"/>
        <w:jc w:val="both"/>
        <w:rPr>
          <w:rFonts w:ascii="Arial" w:hAnsi="Arial" w:cs="Arial"/>
        </w:rPr>
      </w:pPr>
      <w:r w:rsidRPr="00286BBE">
        <w:rPr>
          <w:rFonts w:ascii="Arial" w:hAnsi="Arial" w:cs="Arial"/>
        </w:rPr>
        <w:t>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брокерского договора,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rsidR="006432BF" w:rsidRPr="00286BBE" w:rsidRDefault="006432BF" w:rsidP="00286BBE">
      <w:pPr>
        <w:ind w:firstLine="250"/>
        <w:jc w:val="both"/>
        <w:rPr>
          <w:rFonts w:ascii="Arial" w:hAnsi="Arial" w:cs="Arial"/>
        </w:rPr>
      </w:pPr>
      <w:r w:rsidRPr="00286BBE">
        <w:rPr>
          <w:rFonts w:ascii="Arial" w:hAnsi="Arial" w:cs="Arial"/>
        </w:rPr>
        <w:t xml:space="preserve">Принудительное закрытие позиции направлено на управление рисками. Вы можете понести значительные </w:t>
      </w:r>
      <w:proofErr w:type="gramStart"/>
      <w:r w:rsidRPr="00286BBE">
        <w:rPr>
          <w:rFonts w:ascii="Arial" w:hAnsi="Arial" w:cs="Arial"/>
        </w:rPr>
        <w:t>убытки</w:t>
      </w:r>
      <w:proofErr w:type="gramEnd"/>
      <w:r w:rsidRPr="00286BBE">
        <w:rPr>
          <w:rFonts w:ascii="Arial" w:hAnsi="Arial" w:cs="Arial"/>
        </w:rPr>
        <w:t xml:space="preserve"> несмотря на то, что после этого изменение цен на </w:t>
      </w:r>
      <w:r w:rsidRPr="00286BBE">
        <w:rPr>
          <w:rFonts w:ascii="Arial" w:hAnsi="Arial" w:cs="Arial"/>
        </w:rPr>
        <w:lastRenderedPageBreak/>
        <w:t xml:space="preserve">финансовые инструменты может принять благоприятное для Вас направление и Вы получили бы доход, если бы Ваша позиция не была закрыта. </w:t>
      </w:r>
    </w:p>
    <w:p w:rsidR="006432BF" w:rsidRPr="00286BBE" w:rsidRDefault="006432BF" w:rsidP="006432BF">
      <w:pPr>
        <w:ind w:firstLine="250"/>
        <w:jc w:val="center"/>
        <w:rPr>
          <w:rFonts w:ascii="Arial" w:hAnsi="Arial" w:cs="Arial"/>
          <w:b/>
        </w:rPr>
      </w:pPr>
    </w:p>
    <w:p w:rsidR="006432BF" w:rsidRPr="00286BBE" w:rsidRDefault="006432BF" w:rsidP="006432BF">
      <w:pPr>
        <w:ind w:firstLine="250"/>
        <w:jc w:val="center"/>
        <w:rPr>
          <w:rFonts w:ascii="Arial" w:hAnsi="Arial" w:cs="Arial"/>
          <w:b/>
        </w:rPr>
      </w:pPr>
      <w:r w:rsidRPr="00286BBE">
        <w:rPr>
          <w:rFonts w:ascii="Arial" w:hAnsi="Arial" w:cs="Arial"/>
          <w:b/>
        </w:rPr>
        <w:t>Риски, обусловленные иностранным происхождением базисного актива</w:t>
      </w:r>
    </w:p>
    <w:p w:rsidR="006432BF" w:rsidRPr="00286BBE" w:rsidRDefault="006432BF" w:rsidP="00286BBE">
      <w:pPr>
        <w:spacing w:after="100" w:afterAutospacing="1"/>
        <w:ind w:firstLine="250"/>
        <w:jc w:val="center"/>
        <w:rPr>
          <w:rFonts w:ascii="Arial" w:hAnsi="Arial" w:cs="Arial"/>
        </w:rPr>
      </w:pPr>
      <w:r w:rsidRPr="00286BBE">
        <w:rPr>
          <w:rFonts w:ascii="Arial" w:hAnsi="Arial" w:cs="Arial"/>
        </w:rPr>
        <w:t>Системные риски</w:t>
      </w:r>
    </w:p>
    <w:p w:rsidR="006432BF" w:rsidRPr="00286BBE" w:rsidRDefault="006432BF" w:rsidP="00286BBE">
      <w:pPr>
        <w:spacing w:after="100" w:afterAutospacing="1"/>
        <w:ind w:firstLine="250"/>
        <w:jc w:val="both"/>
        <w:rPr>
          <w:rFonts w:ascii="Arial" w:hAnsi="Arial" w:cs="Arial"/>
        </w:rPr>
      </w:pPr>
      <w:r w:rsidRPr="00286BBE">
        <w:rPr>
          <w:rFonts w:ascii="Arial" w:hAnsi="Arial" w:cs="Arial"/>
        </w:rPr>
        <w:t xml:space="preserve">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w:t>
      </w:r>
      <w:proofErr w:type="gramStart"/>
      <w:r w:rsidRPr="00286BBE">
        <w:rPr>
          <w:rFonts w:ascii="Arial" w:hAnsi="Arial" w:cs="Arial"/>
        </w:rPr>
        <w:t>развитости финансовой системы страны места нахождения</w:t>
      </w:r>
      <w:proofErr w:type="gramEnd"/>
      <w:r w:rsidRPr="00286BBE">
        <w:rPr>
          <w:rFonts w:ascii="Arial" w:hAnsi="Arial" w:cs="Arial"/>
        </w:rPr>
        <w:t xml:space="preserve"> лица, обязанного по иностранным ценным бумагам.</w:t>
      </w:r>
    </w:p>
    <w:p w:rsidR="006432BF" w:rsidRPr="00286BBE" w:rsidRDefault="006432BF" w:rsidP="00286BBE">
      <w:pPr>
        <w:ind w:firstLine="250"/>
        <w:jc w:val="both"/>
        <w:rPr>
          <w:rFonts w:ascii="Arial" w:hAnsi="Arial" w:cs="Arial"/>
        </w:rPr>
      </w:pPr>
      <w:r w:rsidRPr="00286BBE">
        <w:rPr>
          <w:rFonts w:ascii="Arial" w:hAnsi="Arial" w:cs="Arial"/>
        </w:rPr>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w:t>
      </w:r>
      <w:proofErr w:type="gramStart"/>
      <w:r w:rsidRPr="00286BBE">
        <w:rPr>
          <w:rFonts w:ascii="Arial" w:hAnsi="Arial" w:cs="Arial"/>
        </w:rPr>
        <w:t>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w:t>
      </w:r>
      <w:proofErr w:type="gramEnd"/>
    </w:p>
    <w:p w:rsidR="006432BF" w:rsidRPr="00286BBE" w:rsidRDefault="006432BF" w:rsidP="00286BBE">
      <w:pPr>
        <w:ind w:firstLine="250"/>
        <w:jc w:val="both"/>
        <w:rPr>
          <w:rFonts w:ascii="Arial" w:hAnsi="Arial" w:cs="Arial"/>
        </w:rPr>
      </w:pPr>
      <w:r w:rsidRPr="00286BBE">
        <w:rPr>
          <w:rFonts w:ascii="Arial" w:hAnsi="Arial" w:cs="Arial"/>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rsidR="006432BF" w:rsidRPr="00286BBE" w:rsidRDefault="006432BF" w:rsidP="00286BBE">
      <w:pPr>
        <w:ind w:firstLine="250"/>
        <w:jc w:val="center"/>
        <w:rPr>
          <w:rFonts w:ascii="Arial" w:hAnsi="Arial" w:cs="Arial"/>
        </w:rPr>
      </w:pPr>
      <w:r w:rsidRPr="00286BBE">
        <w:rPr>
          <w:rFonts w:ascii="Arial" w:hAnsi="Arial" w:cs="Arial"/>
        </w:rPr>
        <w:t>Правовые риски</w:t>
      </w:r>
    </w:p>
    <w:p w:rsidR="006432BF" w:rsidRPr="00286BBE" w:rsidRDefault="006432BF" w:rsidP="00286BBE">
      <w:pPr>
        <w:ind w:firstLine="250"/>
        <w:jc w:val="both"/>
        <w:rPr>
          <w:rFonts w:ascii="Arial" w:hAnsi="Arial" w:cs="Arial"/>
        </w:rPr>
      </w:pPr>
      <w:r w:rsidRPr="00286BBE">
        <w:rPr>
          <w:rFonts w:ascii="Arial" w:hAnsi="Arial" w:cs="Arial"/>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rsidR="006432BF" w:rsidRPr="00286BBE" w:rsidRDefault="006432BF" w:rsidP="00286BBE">
      <w:pPr>
        <w:ind w:firstLine="250"/>
        <w:jc w:val="both"/>
        <w:rPr>
          <w:rFonts w:ascii="Arial" w:hAnsi="Arial" w:cs="Arial"/>
        </w:rPr>
      </w:pPr>
      <w:r w:rsidRPr="00286BBE">
        <w:rPr>
          <w:rFonts w:ascii="Arial" w:hAnsi="Arial" w:cs="Arial"/>
        </w:rPr>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w:t>
      </w:r>
      <w:proofErr w:type="gramStart"/>
      <w:r w:rsidRPr="00286BBE">
        <w:rPr>
          <w:rFonts w:ascii="Arial" w:hAnsi="Arial" w:cs="Arial"/>
        </w:rPr>
        <w:t>от</w:t>
      </w:r>
      <w:proofErr w:type="gramEnd"/>
      <w:r w:rsidRPr="00286BBE">
        <w:rPr>
          <w:rFonts w:ascii="Arial" w:hAnsi="Arial" w:cs="Arial"/>
        </w:rPr>
        <w:t xml:space="preserve">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rsidR="006432BF" w:rsidRPr="00286BBE" w:rsidRDefault="006432BF" w:rsidP="006432BF">
      <w:pPr>
        <w:ind w:firstLine="250"/>
        <w:rPr>
          <w:rFonts w:ascii="Arial" w:hAnsi="Arial" w:cs="Arial"/>
        </w:rPr>
      </w:pPr>
    </w:p>
    <w:p w:rsidR="006432BF" w:rsidRPr="00286BBE" w:rsidRDefault="006432BF" w:rsidP="00286BBE">
      <w:pPr>
        <w:ind w:firstLine="250"/>
        <w:jc w:val="center"/>
        <w:rPr>
          <w:rFonts w:ascii="Arial" w:hAnsi="Arial" w:cs="Arial"/>
        </w:rPr>
      </w:pPr>
      <w:r w:rsidRPr="00286BBE">
        <w:rPr>
          <w:rFonts w:ascii="Arial" w:hAnsi="Arial" w:cs="Arial"/>
        </w:rPr>
        <w:t>Раскрытие информации</w:t>
      </w:r>
    </w:p>
    <w:p w:rsidR="006432BF" w:rsidRPr="00286BBE" w:rsidRDefault="006432BF" w:rsidP="00286BBE">
      <w:pPr>
        <w:ind w:firstLine="250"/>
        <w:jc w:val="both"/>
        <w:rPr>
          <w:rFonts w:ascii="Arial" w:hAnsi="Arial" w:cs="Arial"/>
        </w:rPr>
      </w:pPr>
      <w:r w:rsidRPr="00286BBE">
        <w:rPr>
          <w:rFonts w:ascii="Arial" w:hAnsi="Arial" w:cs="Arial"/>
        </w:rPr>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rsidR="006432BF" w:rsidRPr="00286BBE" w:rsidRDefault="006432BF" w:rsidP="00286BBE">
      <w:pPr>
        <w:ind w:firstLine="250"/>
        <w:jc w:val="both"/>
        <w:rPr>
          <w:rFonts w:ascii="Arial" w:hAnsi="Arial" w:cs="Arial"/>
        </w:rPr>
      </w:pPr>
      <w:r w:rsidRPr="00286BBE">
        <w:rPr>
          <w:rFonts w:ascii="Arial" w:hAnsi="Arial" w:cs="Arial"/>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rsidR="006432BF" w:rsidRPr="00286BBE" w:rsidRDefault="006432BF" w:rsidP="006432BF">
      <w:pPr>
        <w:spacing w:before="240"/>
        <w:ind w:firstLine="250"/>
        <w:jc w:val="center"/>
        <w:rPr>
          <w:rFonts w:ascii="Arial" w:hAnsi="Arial" w:cs="Arial"/>
        </w:rPr>
      </w:pPr>
      <w:r w:rsidRPr="00286BBE">
        <w:rPr>
          <w:rFonts w:ascii="Arial" w:hAnsi="Arial" w:cs="Arial"/>
        </w:rPr>
        <w:t>***</w:t>
      </w:r>
    </w:p>
    <w:p w:rsidR="00B11392" w:rsidRDefault="006432BF" w:rsidP="006432BF">
      <w:pPr>
        <w:rPr>
          <w:rFonts w:ascii="Arial" w:hAnsi="Arial" w:cs="Arial"/>
        </w:rPr>
      </w:pPr>
      <w:r w:rsidRPr="00286BBE">
        <w:rPr>
          <w:rFonts w:ascii="Arial" w:hAnsi="Arial" w:cs="Arial"/>
        </w:rPr>
        <w:t xml:space="preserve">Учитывая </w:t>
      </w:r>
      <w:proofErr w:type="gramStart"/>
      <w:r w:rsidRPr="00286BBE">
        <w:rPr>
          <w:rFonts w:ascii="Arial" w:hAnsi="Arial" w:cs="Arial"/>
        </w:rPr>
        <w:t>вышеизложенное</w:t>
      </w:r>
      <w:proofErr w:type="gramEnd"/>
      <w:r w:rsidRPr="00286BBE">
        <w:rPr>
          <w:rFonts w:ascii="Arial" w:hAnsi="Arial" w:cs="Arial"/>
        </w:rPr>
        <w:t>,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управляющим.</w:t>
      </w:r>
    </w:p>
    <w:p w:rsidR="005605EF" w:rsidRDefault="005605EF" w:rsidP="006432BF">
      <w:pPr>
        <w:rPr>
          <w:rFonts w:ascii="Arial" w:hAnsi="Arial" w:cs="Arial"/>
        </w:rPr>
      </w:pPr>
    </w:p>
    <w:p w:rsidR="005605EF" w:rsidRPr="00683C08" w:rsidRDefault="005605EF" w:rsidP="005605EF">
      <w:pPr>
        <w:rPr>
          <w:rFonts w:ascii="Arial" w:hAnsi="Arial" w:cs="Arial"/>
        </w:rPr>
      </w:pPr>
      <w:r>
        <w:rPr>
          <w:rFonts w:ascii="Arial" w:hAnsi="Arial" w:cs="Arial"/>
        </w:rPr>
        <w:t xml:space="preserve">С декларацией </w:t>
      </w:r>
      <w:proofErr w:type="gramStart"/>
      <w:r>
        <w:rPr>
          <w:rFonts w:ascii="Arial" w:hAnsi="Arial" w:cs="Arial"/>
        </w:rPr>
        <w:t>ознакомлен</w:t>
      </w:r>
      <w:proofErr w:type="gramEnd"/>
      <w:r>
        <w:rPr>
          <w:rFonts w:ascii="Arial" w:hAnsi="Arial" w:cs="Arial"/>
        </w:rPr>
        <w:t xml:space="preserve"> ______________ / ФИО Клиента/</w:t>
      </w:r>
    </w:p>
    <w:p w:rsidR="005605EF" w:rsidRPr="00286BBE" w:rsidRDefault="005605EF" w:rsidP="006432BF">
      <w:pPr>
        <w:rPr>
          <w:rFonts w:ascii="Arial" w:hAnsi="Arial" w:cs="Arial"/>
        </w:rPr>
      </w:pPr>
      <w:bookmarkStart w:id="0" w:name="_GoBack"/>
      <w:bookmarkEnd w:id="0"/>
    </w:p>
    <w:sectPr w:rsidR="005605EF" w:rsidRPr="00286B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7FC" w:rsidRDefault="005D57FC" w:rsidP="00683C08">
      <w:pPr>
        <w:spacing w:after="0" w:line="240" w:lineRule="auto"/>
      </w:pPr>
      <w:r>
        <w:separator/>
      </w:r>
    </w:p>
  </w:endnote>
  <w:endnote w:type="continuationSeparator" w:id="0">
    <w:p w:rsidR="005D57FC" w:rsidRDefault="005D57FC" w:rsidP="0068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7FC" w:rsidRDefault="005D57FC" w:rsidP="00683C08">
      <w:pPr>
        <w:spacing w:after="0" w:line="240" w:lineRule="auto"/>
      </w:pPr>
      <w:r>
        <w:separator/>
      </w:r>
    </w:p>
  </w:footnote>
  <w:footnote w:type="continuationSeparator" w:id="0">
    <w:p w:rsidR="005D57FC" w:rsidRDefault="005D57FC" w:rsidP="00683C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08"/>
    <w:rsid w:val="000C4CC9"/>
    <w:rsid w:val="001A4737"/>
    <w:rsid w:val="001E4FCE"/>
    <w:rsid w:val="00286BBE"/>
    <w:rsid w:val="00294813"/>
    <w:rsid w:val="00377B09"/>
    <w:rsid w:val="005605EF"/>
    <w:rsid w:val="00565077"/>
    <w:rsid w:val="005D57FC"/>
    <w:rsid w:val="006432BF"/>
    <w:rsid w:val="00683C08"/>
    <w:rsid w:val="00763D12"/>
    <w:rsid w:val="009F5D77"/>
    <w:rsid w:val="00B11392"/>
    <w:rsid w:val="00B717BB"/>
    <w:rsid w:val="00D8332B"/>
    <w:rsid w:val="00F869B3"/>
    <w:rsid w:val="00FF0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83C08"/>
    <w:pPr>
      <w:autoSpaceDE w:val="0"/>
      <w:autoSpaceDN w:val="0"/>
      <w:spacing w:after="0" w:line="240" w:lineRule="auto"/>
    </w:pPr>
    <w:rPr>
      <w:rFonts w:eastAsia="Times New Roman"/>
      <w:sz w:val="20"/>
      <w:szCs w:val="20"/>
    </w:rPr>
  </w:style>
  <w:style w:type="character" w:customStyle="1" w:styleId="a4">
    <w:name w:val="Текст сноски Знак"/>
    <w:basedOn w:val="a0"/>
    <w:link w:val="a3"/>
    <w:semiHidden/>
    <w:rsid w:val="00683C08"/>
    <w:rPr>
      <w:rFonts w:ascii="Calibri" w:eastAsia="Times New Roman" w:hAnsi="Calibri" w:cs="Times New Roman"/>
      <w:sz w:val="20"/>
      <w:szCs w:val="20"/>
    </w:rPr>
  </w:style>
  <w:style w:type="character" w:styleId="a5">
    <w:name w:val="footnote reference"/>
    <w:uiPriority w:val="99"/>
    <w:semiHidden/>
    <w:unhideWhenUsed/>
    <w:rsid w:val="00683C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C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83C08"/>
    <w:pPr>
      <w:autoSpaceDE w:val="0"/>
      <w:autoSpaceDN w:val="0"/>
      <w:spacing w:after="0" w:line="240" w:lineRule="auto"/>
    </w:pPr>
    <w:rPr>
      <w:rFonts w:eastAsia="Times New Roman"/>
      <w:sz w:val="20"/>
      <w:szCs w:val="20"/>
    </w:rPr>
  </w:style>
  <w:style w:type="character" w:customStyle="1" w:styleId="a4">
    <w:name w:val="Текст сноски Знак"/>
    <w:basedOn w:val="a0"/>
    <w:link w:val="a3"/>
    <w:semiHidden/>
    <w:rsid w:val="00683C08"/>
    <w:rPr>
      <w:rFonts w:ascii="Calibri" w:eastAsia="Times New Roman" w:hAnsi="Calibri" w:cs="Times New Roman"/>
      <w:sz w:val="20"/>
      <w:szCs w:val="20"/>
    </w:rPr>
  </w:style>
  <w:style w:type="character" w:styleId="a5">
    <w:name w:val="footnote reference"/>
    <w:uiPriority w:val="99"/>
    <w:semiHidden/>
    <w:unhideWhenUsed/>
    <w:rsid w:val="00683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1527</Words>
  <Characters>8708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Семенов</dc:creator>
  <cp:lastModifiedBy>Алексей Семенов</cp:lastModifiedBy>
  <cp:revision>3</cp:revision>
  <dcterms:created xsi:type="dcterms:W3CDTF">2017-06-15T10:13:00Z</dcterms:created>
  <dcterms:modified xsi:type="dcterms:W3CDTF">2017-06-15T10:14:00Z</dcterms:modified>
</cp:coreProperties>
</file>